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A0B" w:rsidRDefault="00375A0B" w:rsidP="000A0467">
      <w:pPr>
        <w:spacing w:line="480" w:lineRule="auto"/>
        <w:jc w:val="center"/>
        <w:rPr>
          <w:rFonts w:ascii="Times New Roman" w:hAnsi="Times New Roman" w:cs="Times New Roman"/>
          <w:sz w:val="24"/>
          <w:szCs w:val="24"/>
        </w:rPr>
      </w:pPr>
    </w:p>
    <w:p w:rsidR="00375A0B" w:rsidRDefault="00375A0B" w:rsidP="000A0467">
      <w:pPr>
        <w:spacing w:line="480" w:lineRule="auto"/>
        <w:jc w:val="center"/>
        <w:rPr>
          <w:rFonts w:ascii="Times New Roman" w:hAnsi="Times New Roman" w:cs="Times New Roman"/>
          <w:sz w:val="24"/>
          <w:szCs w:val="24"/>
        </w:rPr>
      </w:pPr>
    </w:p>
    <w:p w:rsidR="00375A0B" w:rsidRDefault="00375A0B" w:rsidP="000A0467">
      <w:pPr>
        <w:spacing w:line="480" w:lineRule="auto"/>
        <w:jc w:val="center"/>
        <w:rPr>
          <w:rFonts w:ascii="Times New Roman" w:hAnsi="Times New Roman" w:cs="Times New Roman"/>
          <w:sz w:val="24"/>
          <w:szCs w:val="24"/>
        </w:rPr>
      </w:pPr>
    </w:p>
    <w:p w:rsidR="00375A0B" w:rsidRDefault="00375A0B" w:rsidP="000A0467">
      <w:pPr>
        <w:spacing w:line="480" w:lineRule="auto"/>
        <w:jc w:val="center"/>
        <w:rPr>
          <w:rFonts w:ascii="Times New Roman" w:hAnsi="Times New Roman" w:cs="Times New Roman"/>
          <w:sz w:val="24"/>
          <w:szCs w:val="24"/>
        </w:rPr>
      </w:pPr>
    </w:p>
    <w:p w:rsidR="00375A0B" w:rsidRDefault="00375A0B" w:rsidP="000A0467">
      <w:pPr>
        <w:spacing w:line="480" w:lineRule="auto"/>
        <w:jc w:val="center"/>
        <w:rPr>
          <w:rFonts w:ascii="Times New Roman" w:hAnsi="Times New Roman" w:cs="Times New Roman"/>
          <w:sz w:val="24"/>
          <w:szCs w:val="24"/>
        </w:rPr>
      </w:pPr>
    </w:p>
    <w:p w:rsidR="00424122" w:rsidRDefault="00424122" w:rsidP="000A0467">
      <w:pPr>
        <w:spacing w:line="480" w:lineRule="auto"/>
        <w:jc w:val="center"/>
        <w:rPr>
          <w:rFonts w:ascii="Times New Roman" w:hAnsi="Times New Roman" w:cs="Times New Roman"/>
          <w:sz w:val="24"/>
          <w:szCs w:val="24"/>
        </w:rPr>
      </w:pPr>
      <w:r w:rsidRPr="00A84407">
        <w:rPr>
          <w:rFonts w:ascii="Times New Roman" w:hAnsi="Times New Roman" w:cs="Times New Roman"/>
          <w:sz w:val="24"/>
          <w:szCs w:val="24"/>
        </w:rPr>
        <w:t>Tesla Accounting Practices</w:t>
      </w:r>
    </w:p>
    <w:p w:rsidR="00166501" w:rsidRDefault="00166501" w:rsidP="000A046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166501" w:rsidRDefault="00166501" w:rsidP="000A046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166501" w:rsidRPr="00A84407" w:rsidRDefault="00166501" w:rsidP="000A0467">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027E72" w:rsidRDefault="00027E72" w:rsidP="000A0467">
      <w:pPr>
        <w:spacing w:line="480" w:lineRule="auto"/>
        <w:jc w:val="center"/>
        <w:rPr>
          <w:rFonts w:ascii="Times New Roman" w:hAnsi="Times New Roman" w:cs="Times New Roman"/>
          <w:sz w:val="24"/>
          <w:szCs w:val="24"/>
        </w:rPr>
      </w:pPr>
    </w:p>
    <w:p w:rsidR="00027E72" w:rsidRDefault="00027E72" w:rsidP="000A0467">
      <w:pPr>
        <w:spacing w:line="480" w:lineRule="auto"/>
        <w:rPr>
          <w:rFonts w:ascii="Times New Roman" w:hAnsi="Times New Roman" w:cs="Times New Roman"/>
          <w:sz w:val="24"/>
          <w:szCs w:val="24"/>
        </w:rPr>
      </w:pPr>
    </w:p>
    <w:p w:rsidR="006C643A" w:rsidRDefault="006C643A" w:rsidP="000A0467">
      <w:pPr>
        <w:spacing w:line="480" w:lineRule="auto"/>
        <w:ind w:firstLine="0"/>
        <w:rPr>
          <w:rFonts w:ascii="Times New Roman" w:hAnsi="Times New Roman" w:cs="Times New Roman"/>
          <w:b/>
          <w:sz w:val="24"/>
          <w:szCs w:val="24"/>
        </w:rPr>
      </w:pPr>
    </w:p>
    <w:p w:rsidR="00951F65" w:rsidRDefault="00951F65" w:rsidP="000A0467">
      <w:pPr>
        <w:spacing w:line="480" w:lineRule="auto"/>
        <w:jc w:val="center"/>
        <w:rPr>
          <w:rFonts w:ascii="Times New Roman" w:hAnsi="Times New Roman" w:cs="Times New Roman"/>
          <w:b/>
          <w:sz w:val="24"/>
          <w:szCs w:val="24"/>
        </w:rPr>
      </w:pPr>
    </w:p>
    <w:p w:rsidR="00951F65" w:rsidRDefault="00951F65" w:rsidP="006C49D3">
      <w:pPr>
        <w:spacing w:line="480" w:lineRule="auto"/>
        <w:ind w:firstLine="0"/>
        <w:rPr>
          <w:rFonts w:ascii="Times New Roman" w:hAnsi="Times New Roman" w:cs="Times New Roman"/>
          <w:b/>
          <w:sz w:val="24"/>
          <w:szCs w:val="24"/>
        </w:rPr>
      </w:pPr>
    </w:p>
    <w:p w:rsidR="00FD14D7" w:rsidRDefault="00FD14D7" w:rsidP="000A0467">
      <w:pPr>
        <w:spacing w:line="480" w:lineRule="auto"/>
        <w:ind w:firstLine="0"/>
        <w:rPr>
          <w:rFonts w:ascii="Times New Roman" w:hAnsi="Times New Roman" w:cs="Times New Roman"/>
          <w:b/>
          <w:sz w:val="24"/>
          <w:szCs w:val="24"/>
        </w:rPr>
      </w:pPr>
    </w:p>
    <w:p w:rsidR="004B1905" w:rsidRPr="004B1905" w:rsidRDefault="004B1905" w:rsidP="000A0467">
      <w:pPr>
        <w:pStyle w:val="Heading1"/>
        <w:spacing w:line="480" w:lineRule="auto"/>
        <w:jc w:val="center"/>
      </w:pPr>
      <w:bookmarkStart w:id="0" w:name="_Toc79458568"/>
      <w:r w:rsidRPr="004B1905">
        <w:lastRenderedPageBreak/>
        <w:t>Tesla Accounting Practices</w:t>
      </w:r>
      <w:bookmarkEnd w:id="0"/>
    </w:p>
    <w:p w:rsidR="00424122" w:rsidRPr="00A84407" w:rsidRDefault="00424122" w:rsidP="003038E4">
      <w:pPr>
        <w:spacing w:line="480" w:lineRule="auto"/>
        <w:jc w:val="both"/>
        <w:rPr>
          <w:rFonts w:ascii="Times New Roman" w:hAnsi="Times New Roman" w:cs="Times New Roman"/>
          <w:sz w:val="24"/>
          <w:szCs w:val="24"/>
        </w:rPr>
      </w:pPr>
      <w:r w:rsidRPr="00A84407">
        <w:rPr>
          <w:rFonts w:ascii="Times New Roman" w:hAnsi="Times New Roman" w:cs="Times New Roman"/>
          <w:sz w:val="24"/>
          <w:szCs w:val="24"/>
        </w:rPr>
        <w:t xml:space="preserve">The accounting policy of Tesla has been under-evaluated by SEC frequently. Tesla Inc. has been receiving letters from the Securities and Exchange Commission (SEC) about the accounting practices used by the company. SEC accused Tesla of using “individually tailored” evaluation methods (Hess &amp;amp; Andiola, 2018). Tesla has also been accused of using non-GAAP statistics. Although the company had promised to stop using non-GAAP statistics, it upheld its utilization by stating that non-GAAP statistics mirrored their finances better. Tesla’s third-quarter GAAP varied widely with non-GAAP income. Tesla uses non-GAAP statistics in its reporting to eliminate uncommon items. </w:t>
      </w:r>
    </w:p>
    <w:p w:rsidR="00424122" w:rsidRPr="00A84407" w:rsidRDefault="00424122" w:rsidP="003038E4">
      <w:pPr>
        <w:spacing w:line="480" w:lineRule="auto"/>
        <w:jc w:val="both"/>
        <w:rPr>
          <w:rFonts w:ascii="Times New Roman" w:hAnsi="Times New Roman" w:cs="Times New Roman"/>
          <w:sz w:val="24"/>
          <w:szCs w:val="24"/>
        </w:rPr>
      </w:pPr>
      <w:r w:rsidRPr="00A84407">
        <w:rPr>
          <w:rFonts w:ascii="Times New Roman" w:hAnsi="Times New Roman" w:cs="Times New Roman"/>
          <w:sz w:val="24"/>
          <w:szCs w:val="24"/>
        </w:rPr>
        <w:t>Tesla’s accounting policies have been questioned in different areas with warranty expenses being one of the key areas under question. Two areas of concern related to warranty include warranty expenses on hired products and decreased warranty-associated expenses.  Tesla has been questioned about its accounting on warranties for hired vehicles and solar patterns. Tesla replied that there were no warranties because the customers did not possess the assets and therefore the company caters for any arising maintenance and repairs.</w:t>
      </w:r>
    </w:p>
    <w:p w:rsidR="00424122" w:rsidRPr="00A84407" w:rsidRDefault="00424122" w:rsidP="003038E4">
      <w:pPr>
        <w:spacing w:line="480" w:lineRule="auto"/>
        <w:jc w:val="both"/>
        <w:rPr>
          <w:rFonts w:ascii="Times New Roman" w:hAnsi="Times New Roman" w:cs="Times New Roman"/>
          <w:sz w:val="24"/>
          <w:szCs w:val="24"/>
        </w:rPr>
      </w:pPr>
      <w:r w:rsidRPr="00A84407">
        <w:rPr>
          <w:rFonts w:ascii="Times New Roman" w:hAnsi="Times New Roman" w:cs="Times New Roman"/>
          <w:sz w:val="24"/>
          <w:szCs w:val="24"/>
        </w:rPr>
        <w:t>Another accounting issue questioned was the expenses associated with reduced warranties. Tesla’s warranty-associated accounting practices have contributed to the issues in its third-quarter report on its earnings. Tesla decreased its allocation for warranties from $153 million to $138 million in the third quarter. The company also reduced its obligations for former warranties by $37 million</w:t>
      </w:r>
      <w:r w:rsidR="0098164B" w:rsidRPr="0098164B">
        <w:rPr>
          <w:rFonts w:ascii="Times New Roman" w:hAnsi="Times New Roman" w:cs="Times New Roman"/>
          <w:sz w:val="24"/>
          <w:szCs w:val="24"/>
        </w:rPr>
        <w:t xml:space="preserve"> </w:t>
      </w:r>
      <w:r w:rsidR="0098164B">
        <w:rPr>
          <w:rFonts w:ascii="Times New Roman" w:hAnsi="Times New Roman" w:cs="Times New Roman"/>
          <w:sz w:val="24"/>
          <w:szCs w:val="24"/>
        </w:rPr>
        <w:t>(</w:t>
      </w:r>
      <w:r w:rsidR="008A5470">
        <w:rPr>
          <w:rFonts w:ascii="Times New Roman" w:hAnsi="Times New Roman" w:cs="Times New Roman"/>
          <w:sz w:val="24"/>
          <w:szCs w:val="24"/>
        </w:rPr>
        <w:t>Mehta</w:t>
      </w:r>
      <w:r w:rsidR="0098164B" w:rsidRPr="00A84407">
        <w:rPr>
          <w:rFonts w:ascii="Times New Roman" w:hAnsi="Times New Roman" w:cs="Times New Roman"/>
          <w:sz w:val="24"/>
          <w:szCs w:val="24"/>
        </w:rPr>
        <w:t xml:space="preserve"> &amp;</w:t>
      </w:r>
      <w:r w:rsidR="008A5470">
        <w:rPr>
          <w:rFonts w:ascii="Times New Roman" w:hAnsi="Times New Roman" w:cs="Times New Roman"/>
          <w:sz w:val="24"/>
          <w:szCs w:val="24"/>
        </w:rPr>
        <w:t xml:space="preserve"> </w:t>
      </w:r>
      <w:r w:rsidR="0098164B" w:rsidRPr="00A84407">
        <w:rPr>
          <w:rFonts w:ascii="Times New Roman" w:hAnsi="Times New Roman" w:cs="Times New Roman"/>
          <w:sz w:val="24"/>
          <w:szCs w:val="24"/>
        </w:rPr>
        <w:t>amp; Bhavani</w:t>
      </w:r>
      <w:r w:rsidR="0098164B">
        <w:rPr>
          <w:rFonts w:ascii="Times New Roman" w:hAnsi="Times New Roman" w:cs="Times New Roman"/>
          <w:sz w:val="24"/>
          <w:szCs w:val="24"/>
        </w:rPr>
        <w:t>, 2018)</w:t>
      </w:r>
      <w:r w:rsidRPr="00A84407">
        <w:rPr>
          <w:rFonts w:ascii="Times New Roman" w:hAnsi="Times New Roman" w:cs="Times New Roman"/>
          <w:sz w:val="24"/>
          <w:szCs w:val="24"/>
        </w:rPr>
        <w:t xml:space="preserve">. These warranty-associated variations explained Tesla’s net income in the third quarter. Tesla’s accounting policies have remained to be questionable. Tesla has issues with its Accounts Receivables because the company has </w:t>
      </w:r>
      <w:r w:rsidRPr="00A84407">
        <w:rPr>
          <w:rFonts w:ascii="Times New Roman" w:hAnsi="Times New Roman" w:cs="Times New Roman"/>
          <w:sz w:val="24"/>
          <w:szCs w:val="24"/>
        </w:rPr>
        <w:lastRenderedPageBreak/>
        <w:t>presented different and changing reports. Tesla’s accounts receivables have continued to be unbelievable and foster more questions.</w:t>
      </w:r>
    </w:p>
    <w:p w:rsidR="00424122" w:rsidRPr="00A84407" w:rsidRDefault="00424122" w:rsidP="003038E4">
      <w:pPr>
        <w:spacing w:line="480" w:lineRule="auto"/>
        <w:jc w:val="both"/>
        <w:rPr>
          <w:rFonts w:ascii="Times New Roman" w:hAnsi="Times New Roman" w:cs="Times New Roman"/>
          <w:sz w:val="24"/>
          <w:szCs w:val="24"/>
        </w:rPr>
      </w:pPr>
      <w:r w:rsidRPr="00A84407">
        <w:rPr>
          <w:rFonts w:ascii="Times New Roman" w:hAnsi="Times New Roman" w:cs="Times New Roman"/>
          <w:sz w:val="24"/>
          <w:szCs w:val="24"/>
        </w:rPr>
        <w:t>Tesla failed to recognize and address the new accounting rules that could greatly alter its revenue. The company failed to select an evolution method and has continued to assess the consequences of the new accounting rules until the completion of the first quarter. Other auto companies such as Ford Motor Company and General Motors Company have already implemented the new accounting rules. According to SEC, this was not the first time for Tesla to refuse to observe the standards of the automotive industry. However, SEC had severally advised the company to upgrade its accounting practices.</w:t>
      </w:r>
    </w:p>
    <w:p w:rsidR="00424122" w:rsidRPr="00A84407" w:rsidRDefault="00424122" w:rsidP="003038E4">
      <w:pPr>
        <w:spacing w:line="480" w:lineRule="auto"/>
        <w:jc w:val="both"/>
        <w:rPr>
          <w:rFonts w:ascii="Times New Roman" w:hAnsi="Times New Roman" w:cs="Times New Roman"/>
          <w:sz w:val="24"/>
          <w:szCs w:val="24"/>
        </w:rPr>
      </w:pPr>
      <w:r w:rsidRPr="00A84407">
        <w:rPr>
          <w:rFonts w:ascii="Times New Roman" w:hAnsi="Times New Roman" w:cs="Times New Roman"/>
          <w:sz w:val="24"/>
          <w:szCs w:val="24"/>
        </w:rPr>
        <w:t>Tesla makes use of lease accounting on vehicle sales with a guarantee of resale value. However, Tesla reported that its guarantee of resale value and hiring strategies exposes the company to the risk of getting lower values of its vehicles than its approximation and that this may lead to reduced revenue, gross income, and liquidity, and profit. Musk, Tesla’s CEO was charged with security fraud by SEC after his tweets where he expressed his desire of privatizing the company, meaning that the company was to use private accounting practices</w:t>
      </w:r>
      <w:r w:rsidR="00AC23EB" w:rsidRPr="00AC23EB">
        <w:rPr>
          <w:rFonts w:ascii="Times New Roman" w:hAnsi="Times New Roman" w:cs="Times New Roman"/>
          <w:sz w:val="24"/>
          <w:szCs w:val="24"/>
        </w:rPr>
        <w:t xml:space="preserve"> </w:t>
      </w:r>
      <w:r w:rsidR="00AC23EB">
        <w:rPr>
          <w:rFonts w:ascii="Times New Roman" w:hAnsi="Times New Roman" w:cs="Times New Roman"/>
          <w:sz w:val="24"/>
          <w:szCs w:val="24"/>
        </w:rPr>
        <w:t>(</w:t>
      </w:r>
      <w:r w:rsidR="00ED4006">
        <w:rPr>
          <w:rFonts w:ascii="Times New Roman" w:hAnsi="Times New Roman" w:cs="Times New Roman"/>
          <w:sz w:val="24"/>
          <w:szCs w:val="24"/>
        </w:rPr>
        <w:t xml:space="preserve">Hess </w:t>
      </w:r>
      <w:r w:rsidR="00AC23EB" w:rsidRPr="00A84407">
        <w:rPr>
          <w:rFonts w:ascii="Times New Roman" w:hAnsi="Times New Roman" w:cs="Times New Roman"/>
          <w:sz w:val="24"/>
          <w:szCs w:val="24"/>
        </w:rPr>
        <w:t>&amp;</w:t>
      </w:r>
      <w:r w:rsidR="00ED4006">
        <w:rPr>
          <w:rFonts w:ascii="Times New Roman" w:hAnsi="Times New Roman" w:cs="Times New Roman"/>
          <w:sz w:val="24"/>
          <w:szCs w:val="24"/>
        </w:rPr>
        <w:t xml:space="preserve"> </w:t>
      </w:r>
      <w:r w:rsidR="00AC23EB" w:rsidRPr="00A84407">
        <w:rPr>
          <w:rFonts w:ascii="Times New Roman" w:hAnsi="Times New Roman" w:cs="Times New Roman"/>
          <w:sz w:val="24"/>
          <w:szCs w:val="24"/>
        </w:rPr>
        <w:t>amp; Andiola</w:t>
      </w:r>
      <w:r w:rsidR="00AC23EB">
        <w:rPr>
          <w:rFonts w:ascii="Times New Roman" w:hAnsi="Times New Roman" w:cs="Times New Roman"/>
          <w:sz w:val="24"/>
          <w:szCs w:val="24"/>
        </w:rPr>
        <w:t>, 2018)</w:t>
      </w:r>
      <w:r w:rsidRPr="00A84407">
        <w:rPr>
          <w:rFonts w:ascii="Times New Roman" w:hAnsi="Times New Roman" w:cs="Times New Roman"/>
          <w:sz w:val="24"/>
          <w:szCs w:val="24"/>
        </w:rPr>
        <w:t xml:space="preserve">. </w:t>
      </w:r>
    </w:p>
    <w:p w:rsidR="00715C2C" w:rsidRDefault="00424122" w:rsidP="003038E4">
      <w:pPr>
        <w:spacing w:line="480" w:lineRule="auto"/>
        <w:jc w:val="both"/>
        <w:rPr>
          <w:rFonts w:ascii="Times New Roman" w:hAnsi="Times New Roman" w:cs="Times New Roman"/>
          <w:sz w:val="24"/>
          <w:szCs w:val="24"/>
        </w:rPr>
      </w:pPr>
      <w:bookmarkStart w:id="1" w:name="_GoBack"/>
      <w:bookmarkEnd w:id="1"/>
      <w:r w:rsidRPr="00A84407">
        <w:rPr>
          <w:rFonts w:ascii="Times New Roman" w:hAnsi="Times New Roman" w:cs="Times New Roman"/>
          <w:sz w:val="24"/>
          <w:szCs w:val="24"/>
        </w:rPr>
        <w:t>Tesla has used accounting practices such as public accounting practice whereby the company has allowed independent firms such as the Securities and Exchange Commission to evaluate its accounting records and disclosing information to the public. Although the company has used these accounting practices to record and evaluate its financial statement, it has failed to follow the generally accepted accounting principles (GAAP) as well as the current accounting laws. This has contributed to mist</w:t>
      </w:r>
      <w:r w:rsidR="003038E4">
        <w:rPr>
          <w:rFonts w:ascii="Times New Roman" w:hAnsi="Times New Roman" w:cs="Times New Roman"/>
          <w:sz w:val="24"/>
          <w:szCs w:val="24"/>
        </w:rPr>
        <w:t>rust of its accounting policies</w:t>
      </w:r>
    </w:p>
    <w:p w:rsidR="00B91CDA" w:rsidRPr="00D10CA5" w:rsidRDefault="00B91CDA" w:rsidP="000A0467">
      <w:pPr>
        <w:pStyle w:val="Heading1"/>
        <w:spacing w:line="480" w:lineRule="auto"/>
        <w:jc w:val="center"/>
      </w:pPr>
      <w:bookmarkStart w:id="2" w:name="_Toc79458569"/>
      <w:r w:rsidRPr="00D10CA5">
        <w:lastRenderedPageBreak/>
        <w:t>References</w:t>
      </w:r>
      <w:bookmarkEnd w:id="2"/>
    </w:p>
    <w:p w:rsidR="0000762A" w:rsidRPr="00A84407" w:rsidRDefault="0000762A" w:rsidP="000A0467">
      <w:pPr>
        <w:spacing w:line="480" w:lineRule="auto"/>
        <w:ind w:left="720" w:hanging="720"/>
        <w:rPr>
          <w:rFonts w:ascii="Times New Roman" w:hAnsi="Times New Roman" w:cs="Times New Roman"/>
          <w:sz w:val="24"/>
          <w:szCs w:val="24"/>
        </w:rPr>
      </w:pPr>
      <w:r w:rsidRPr="00A84407">
        <w:rPr>
          <w:rFonts w:ascii="Times New Roman" w:hAnsi="Times New Roman" w:cs="Times New Roman"/>
          <w:sz w:val="24"/>
          <w:szCs w:val="24"/>
        </w:rPr>
        <w:t>Mehta, A., &amp;amp; Bhavani, G. (2018). Financial statements analysis on Tesla. Academy of Accounting and Financial Studies Journal, 22(6), 1-9.</w:t>
      </w:r>
    </w:p>
    <w:p w:rsidR="00B91CDA" w:rsidRPr="00A84407" w:rsidRDefault="0000762A" w:rsidP="000A0467">
      <w:pPr>
        <w:spacing w:line="480" w:lineRule="auto"/>
        <w:ind w:left="720" w:hanging="720"/>
        <w:rPr>
          <w:rFonts w:ascii="Times New Roman" w:hAnsi="Times New Roman" w:cs="Times New Roman"/>
          <w:sz w:val="24"/>
          <w:szCs w:val="24"/>
        </w:rPr>
      </w:pPr>
      <w:r w:rsidRPr="00A84407">
        <w:rPr>
          <w:rFonts w:ascii="Times New Roman" w:hAnsi="Times New Roman" w:cs="Times New Roman"/>
          <w:sz w:val="24"/>
          <w:szCs w:val="24"/>
        </w:rPr>
        <w:t>Hess, M. F., &amp;amp; Andiola, L. M. (2018). Fraud risk brainstorming at tesla motors. Issues in Accounting Education, 33(2), 19-34.</w:t>
      </w:r>
    </w:p>
    <w:sectPr w:rsidR="00B91CDA" w:rsidRPr="00A84407" w:rsidSect="00A8440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778" w:rsidRDefault="00094778" w:rsidP="00A84407">
      <w:pPr>
        <w:spacing w:after="0" w:line="240" w:lineRule="auto"/>
      </w:pPr>
      <w:r>
        <w:separator/>
      </w:r>
    </w:p>
  </w:endnote>
  <w:endnote w:type="continuationSeparator" w:id="0">
    <w:p w:rsidR="00094778" w:rsidRDefault="00094778" w:rsidP="00A84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778" w:rsidRDefault="00094778" w:rsidP="00A84407">
      <w:pPr>
        <w:spacing w:after="0" w:line="240" w:lineRule="auto"/>
      </w:pPr>
      <w:r>
        <w:separator/>
      </w:r>
    </w:p>
  </w:footnote>
  <w:footnote w:type="continuationSeparator" w:id="0">
    <w:p w:rsidR="00094778" w:rsidRDefault="00094778" w:rsidP="00A844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4724"/>
      <w:docPartObj>
        <w:docPartGallery w:val="Page Numbers (Top of Page)"/>
        <w:docPartUnique/>
      </w:docPartObj>
    </w:sdtPr>
    <w:sdtEndPr/>
    <w:sdtContent>
      <w:p w:rsidR="00A84407" w:rsidRDefault="00A84407" w:rsidP="00A84407">
        <w:pPr>
          <w:pStyle w:val="Header"/>
          <w:ind w:firstLine="0"/>
        </w:pPr>
        <w:r w:rsidRPr="00A84407">
          <w:rPr>
            <w:rFonts w:ascii="Times New Roman" w:hAnsi="Times New Roman" w:cs="Times New Roman"/>
            <w:sz w:val="24"/>
            <w:szCs w:val="24"/>
          </w:rPr>
          <w:t>Accounting Practices</w:t>
        </w:r>
        <w:r>
          <w:t xml:space="preserve">                                                                                                                                                </w:t>
        </w:r>
        <w:r w:rsidR="00094778">
          <w:fldChar w:fldCharType="begin"/>
        </w:r>
        <w:r w:rsidR="00094778">
          <w:instrText xml:space="preserve"> PAGE   \* MERGEFORMAT </w:instrText>
        </w:r>
        <w:r w:rsidR="00094778">
          <w:fldChar w:fldCharType="separate"/>
        </w:r>
        <w:r w:rsidR="003038E4">
          <w:rPr>
            <w:noProof/>
          </w:rPr>
          <w:t>4</w:t>
        </w:r>
        <w:r w:rsidR="00094778">
          <w:rPr>
            <w:noProof/>
          </w:rPr>
          <w:fldChar w:fldCharType="end"/>
        </w:r>
      </w:p>
    </w:sdtContent>
  </w:sdt>
  <w:p w:rsidR="00A84407" w:rsidRDefault="00A844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407" w:rsidRPr="00A84407" w:rsidRDefault="00A84407" w:rsidP="00A84407">
    <w:pPr>
      <w:pStyle w:val="Header"/>
      <w:ind w:firstLine="0"/>
      <w:rPr>
        <w:rFonts w:ascii="Times New Roman" w:hAnsi="Times New Roman" w:cs="Times New Roman"/>
        <w:b/>
        <w:sz w:val="24"/>
        <w:szCs w:val="24"/>
      </w:rPr>
    </w:pPr>
    <w:r w:rsidRPr="00A84407">
      <w:rPr>
        <w:rFonts w:ascii="Times New Roman" w:hAnsi="Times New Roman" w:cs="Times New Roman"/>
        <w:sz w:val="24"/>
        <w:szCs w:val="24"/>
      </w:rPr>
      <w:t xml:space="preserve">Running Head: </w:t>
    </w:r>
    <w:r w:rsidRPr="00A84407">
      <w:rPr>
        <w:rFonts w:ascii="Times New Roman" w:hAnsi="Times New Roman" w:cs="Times New Roman"/>
        <w:b/>
        <w:sz w:val="24"/>
        <w:szCs w:val="24"/>
      </w:rPr>
      <w:t xml:space="preserve">ACCOUNTING PRACTICES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1D"/>
    <w:rsid w:val="0000762A"/>
    <w:rsid w:val="000207E5"/>
    <w:rsid w:val="00022369"/>
    <w:rsid w:val="0002541F"/>
    <w:rsid w:val="00027E72"/>
    <w:rsid w:val="00044E12"/>
    <w:rsid w:val="0005720A"/>
    <w:rsid w:val="00057330"/>
    <w:rsid w:val="000602A2"/>
    <w:rsid w:val="00066CDE"/>
    <w:rsid w:val="0006753C"/>
    <w:rsid w:val="00070DC2"/>
    <w:rsid w:val="00087F73"/>
    <w:rsid w:val="00090FA9"/>
    <w:rsid w:val="00094778"/>
    <w:rsid w:val="000959AE"/>
    <w:rsid w:val="00096FD6"/>
    <w:rsid w:val="000A0467"/>
    <w:rsid w:val="000B72E8"/>
    <w:rsid w:val="000D64BD"/>
    <w:rsid w:val="000E0FCD"/>
    <w:rsid w:val="0010406E"/>
    <w:rsid w:val="00105F78"/>
    <w:rsid w:val="001153D9"/>
    <w:rsid w:val="0011576F"/>
    <w:rsid w:val="00126889"/>
    <w:rsid w:val="00135FA9"/>
    <w:rsid w:val="001413D2"/>
    <w:rsid w:val="00166501"/>
    <w:rsid w:val="001723EE"/>
    <w:rsid w:val="001762AB"/>
    <w:rsid w:val="00182822"/>
    <w:rsid w:val="0018433D"/>
    <w:rsid w:val="0019727B"/>
    <w:rsid w:val="001A1DA1"/>
    <w:rsid w:val="001E0FC6"/>
    <w:rsid w:val="00280660"/>
    <w:rsid w:val="002A386B"/>
    <w:rsid w:val="002B5075"/>
    <w:rsid w:val="002E5B98"/>
    <w:rsid w:val="002F0534"/>
    <w:rsid w:val="002F103B"/>
    <w:rsid w:val="002F30A1"/>
    <w:rsid w:val="003038E4"/>
    <w:rsid w:val="00326A7F"/>
    <w:rsid w:val="003408AC"/>
    <w:rsid w:val="00375A0B"/>
    <w:rsid w:val="003B3BC0"/>
    <w:rsid w:val="00406D6B"/>
    <w:rsid w:val="00424122"/>
    <w:rsid w:val="00432D63"/>
    <w:rsid w:val="004A62AD"/>
    <w:rsid w:val="004B1905"/>
    <w:rsid w:val="004E232E"/>
    <w:rsid w:val="00532613"/>
    <w:rsid w:val="005529FE"/>
    <w:rsid w:val="00565C79"/>
    <w:rsid w:val="00571B39"/>
    <w:rsid w:val="00586658"/>
    <w:rsid w:val="00597436"/>
    <w:rsid w:val="005A4D12"/>
    <w:rsid w:val="005C3E96"/>
    <w:rsid w:val="005D30A1"/>
    <w:rsid w:val="005E2D95"/>
    <w:rsid w:val="005E6795"/>
    <w:rsid w:val="005F0798"/>
    <w:rsid w:val="005F1A7E"/>
    <w:rsid w:val="00614A82"/>
    <w:rsid w:val="00635B75"/>
    <w:rsid w:val="00651162"/>
    <w:rsid w:val="00680259"/>
    <w:rsid w:val="00697747"/>
    <w:rsid w:val="006B29B7"/>
    <w:rsid w:val="006C3A48"/>
    <w:rsid w:val="006C49D3"/>
    <w:rsid w:val="006C643A"/>
    <w:rsid w:val="006F6FE1"/>
    <w:rsid w:val="00703ECA"/>
    <w:rsid w:val="00710BC7"/>
    <w:rsid w:val="00715C2C"/>
    <w:rsid w:val="00744194"/>
    <w:rsid w:val="00750201"/>
    <w:rsid w:val="00757F64"/>
    <w:rsid w:val="00763C7E"/>
    <w:rsid w:val="00787755"/>
    <w:rsid w:val="00787DAD"/>
    <w:rsid w:val="007A7298"/>
    <w:rsid w:val="00841F0F"/>
    <w:rsid w:val="00846056"/>
    <w:rsid w:val="00851B05"/>
    <w:rsid w:val="00862FE5"/>
    <w:rsid w:val="00873080"/>
    <w:rsid w:val="0088342A"/>
    <w:rsid w:val="00896E50"/>
    <w:rsid w:val="008A4860"/>
    <w:rsid w:val="008A5470"/>
    <w:rsid w:val="008C4734"/>
    <w:rsid w:val="008E48C1"/>
    <w:rsid w:val="008E7A30"/>
    <w:rsid w:val="00900ABF"/>
    <w:rsid w:val="009262CD"/>
    <w:rsid w:val="009373BE"/>
    <w:rsid w:val="009413EC"/>
    <w:rsid w:val="009517F7"/>
    <w:rsid w:val="00951F65"/>
    <w:rsid w:val="00960145"/>
    <w:rsid w:val="00963AF9"/>
    <w:rsid w:val="00963DE2"/>
    <w:rsid w:val="0098164B"/>
    <w:rsid w:val="009825AB"/>
    <w:rsid w:val="00986124"/>
    <w:rsid w:val="00994046"/>
    <w:rsid w:val="009A092D"/>
    <w:rsid w:val="009B4943"/>
    <w:rsid w:val="009B709E"/>
    <w:rsid w:val="009C5F6A"/>
    <w:rsid w:val="009C6C7F"/>
    <w:rsid w:val="009D232D"/>
    <w:rsid w:val="009D6B93"/>
    <w:rsid w:val="00A01D73"/>
    <w:rsid w:val="00A17232"/>
    <w:rsid w:val="00A7393E"/>
    <w:rsid w:val="00A7695D"/>
    <w:rsid w:val="00A84407"/>
    <w:rsid w:val="00A847B4"/>
    <w:rsid w:val="00AB0C15"/>
    <w:rsid w:val="00AB5AEE"/>
    <w:rsid w:val="00AC23EB"/>
    <w:rsid w:val="00AE2CC7"/>
    <w:rsid w:val="00AE2FEA"/>
    <w:rsid w:val="00AE77D2"/>
    <w:rsid w:val="00B05175"/>
    <w:rsid w:val="00B300DF"/>
    <w:rsid w:val="00B45063"/>
    <w:rsid w:val="00B4508B"/>
    <w:rsid w:val="00B455B6"/>
    <w:rsid w:val="00B54117"/>
    <w:rsid w:val="00B717E2"/>
    <w:rsid w:val="00B80590"/>
    <w:rsid w:val="00B85EA9"/>
    <w:rsid w:val="00B91CDA"/>
    <w:rsid w:val="00BD711D"/>
    <w:rsid w:val="00BE145D"/>
    <w:rsid w:val="00C60DF0"/>
    <w:rsid w:val="00C642AD"/>
    <w:rsid w:val="00C67CAF"/>
    <w:rsid w:val="00C70F81"/>
    <w:rsid w:val="00C828FB"/>
    <w:rsid w:val="00CB477C"/>
    <w:rsid w:val="00CB4828"/>
    <w:rsid w:val="00CC287C"/>
    <w:rsid w:val="00CC7AE5"/>
    <w:rsid w:val="00CD210A"/>
    <w:rsid w:val="00CE7172"/>
    <w:rsid w:val="00CF681A"/>
    <w:rsid w:val="00D10CA5"/>
    <w:rsid w:val="00D54285"/>
    <w:rsid w:val="00DA0A68"/>
    <w:rsid w:val="00DB5D51"/>
    <w:rsid w:val="00DD16EF"/>
    <w:rsid w:val="00DE21C4"/>
    <w:rsid w:val="00DF1002"/>
    <w:rsid w:val="00DF60C2"/>
    <w:rsid w:val="00DF6E42"/>
    <w:rsid w:val="00E111F0"/>
    <w:rsid w:val="00E13AA9"/>
    <w:rsid w:val="00E17E08"/>
    <w:rsid w:val="00E40034"/>
    <w:rsid w:val="00E46406"/>
    <w:rsid w:val="00E516E3"/>
    <w:rsid w:val="00E678A3"/>
    <w:rsid w:val="00E7514E"/>
    <w:rsid w:val="00E97183"/>
    <w:rsid w:val="00EA4E59"/>
    <w:rsid w:val="00ED4006"/>
    <w:rsid w:val="00F02120"/>
    <w:rsid w:val="00F0533D"/>
    <w:rsid w:val="00F12FE6"/>
    <w:rsid w:val="00F30B0B"/>
    <w:rsid w:val="00F46319"/>
    <w:rsid w:val="00F50453"/>
    <w:rsid w:val="00F524FF"/>
    <w:rsid w:val="00F629D0"/>
    <w:rsid w:val="00F7104D"/>
    <w:rsid w:val="00F93AF1"/>
    <w:rsid w:val="00FA4DCA"/>
    <w:rsid w:val="00FD14D7"/>
    <w:rsid w:val="00FF6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F2BFF3-F3A1-4EC1-BCF2-0DD94A33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EA9"/>
    <w:pPr>
      <w:ind w:firstLine="720"/>
    </w:pPr>
  </w:style>
  <w:style w:type="paragraph" w:styleId="Heading1">
    <w:name w:val="heading 1"/>
    <w:basedOn w:val="Normal"/>
    <w:next w:val="Normal"/>
    <w:link w:val="Heading1Char"/>
    <w:uiPriority w:val="9"/>
    <w:qFormat/>
    <w:rsid w:val="006C643A"/>
    <w:pPr>
      <w:keepNext/>
      <w:keepLines/>
      <w:spacing w:before="480" w:after="0"/>
      <w:outlineLvl w:val="0"/>
    </w:pPr>
    <w:rPr>
      <w:rFonts w:asciiTheme="majorHAnsi" w:eastAsiaTheme="majorEastAsia" w:hAnsiTheme="majorHAns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407"/>
  </w:style>
  <w:style w:type="paragraph" w:styleId="Footer">
    <w:name w:val="footer"/>
    <w:basedOn w:val="Normal"/>
    <w:link w:val="FooterChar"/>
    <w:uiPriority w:val="99"/>
    <w:semiHidden/>
    <w:unhideWhenUsed/>
    <w:rsid w:val="00A844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4407"/>
  </w:style>
  <w:style w:type="character" w:customStyle="1" w:styleId="Heading1Char">
    <w:name w:val="Heading 1 Char"/>
    <w:basedOn w:val="DefaultParagraphFont"/>
    <w:link w:val="Heading1"/>
    <w:uiPriority w:val="9"/>
    <w:rsid w:val="006C643A"/>
    <w:rPr>
      <w:rFonts w:asciiTheme="majorHAnsi" w:eastAsiaTheme="majorEastAsia" w:hAnsiTheme="majorHAnsi" w:cstheme="majorBidi"/>
      <w:b/>
      <w:bCs/>
      <w:color w:val="000000" w:themeColor="text1"/>
      <w:sz w:val="28"/>
      <w:szCs w:val="28"/>
    </w:rPr>
  </w:style>
  <w:style w:type="paragraph" w:styleId="TOCHeading">
    <w:name w:val="TOC Heading"/>
    <w:basedOn w:val="Heading1"/>
    <w:next w:val="Normal"/>
    <w:uiPriority w:val="39"/>
    <w:semiHidden/>
    <w:unhideWhenUsed/>
    <w:qFormat/>
    <w:rsid w:val="006C643A"/>
    <w:pPr>
      <w:ind w:firstLine="0"/>
      <w:outlineLvl w:val="9"/>
    </w:pPr>
  </w:style>
  <w:style w:type="paragraph" w:styleId="BalloonText">
    <w:name w:val="Balloon Text"/>
    <w:basedOn w:val="Normal"/>
    <w:link w:val="BalloonTextChar"/>
    <w:uiPriority w:val="99"/>
    <w:semiHidden/>
    <w:unhideWhenUsed/>
    <w:rsid w:val="006C6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43A"/>
    <w:rPr>
      <w:rFonts w:ascii="Tahoma" w:hAnsi="Tahoma" w:cs="Tahoma"/>
      <w:sz w:val="16"/>
      <w:szCs w:val="16"/>
    </w:rPr>
  </w:style>
  <w:style w:type="paragraph" w:styleId="TOC1">
    <w:name w:val="toc 1"/>
    <w:basedOn w:val="Normal"/>
    <w:next w:val="Normal"/>
    <w:autoRedefine/>
    <w:uiPriority w:val="39"/>
    <w:unhideWhenUsed/>
    <w:rsid w:val="006C643A"/>
    <w:pPr>
      <w:spacing w:after="100"/>
    </w:pPr>
  </w:style>
  <w:style w:type="character" w:styleId="Hyperlink">
    <w:name w:val="Hyperlink"/>
    <w:basedOn w:val="DefaultParagraphFont"/>
    <w:uiPriority w:val="99"/>
    <w:unhideWhenUsed/>
    <w:rsid w:val="006C64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8556A-BBF4-4BCE-92BD-7A3D5D546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HP</cp:lastModifiedBy>
  <cp:revision>2</cp:revision>
  <dcterms:created xsi:type="dcterms:W3CDTF">2021-08-10T12:28:00Z</dcterms:created>
  <dcterms:modified xsi:type="dcterms:W3CDTF">2021-08-10T12:28:00Z</dcterms:modified>
</cp:coreProperties>
</file>